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CC6" w:rsidRPr="008C1A85" w:rsidRDefault="00125CC6" w:rsidP="00125CC6">
      <w:pPr>
        <w:jc w:val="center"/>
        <w:rPr>
          <w:rFonts w:ascii="Times New Roman" w:hAnsi="Times New Roman" w:cs="Times New Roman"/>
          <w:b/>
          <w:sz w:val="24"/>
          <w:szCs w:val="24"/>
        </w:rPr>
      </w:pPr>
      <w:r w:rsidRPr="008C1A85">
        <w:rPr>
          <w:rFonts w:ascii="Times New Roman" w:hAnsi="Times New Roman" w:cs="Times New Roman"/>
          <w:b/>
          <w:sz w:val="24"/>
          <w:szCs w:val="24"/>
        </w:rPr>
        <w:t>Part 2</w:t>
      </w:r>
    </w:p>
    <w:p w:rsidR="00125CC6" w:rsidRPr="008C1A85" w:rsidRDefault="00125CC6" w:rsidP="00125CC6">
      <w:pPr>
        <w:jc w:val="center"/>
        <w:rPr>
          <w:rFonts w:ascii="Times New Roman" w:hAnsi="Times New Roman" w:cs="Times New Roman"/>
          <w:b/>
          <w:sz w:val="24"/>
          <w:szCs w:val="24"/>
        </w:rPr>
      </w:pPr>
      <w:r w:rsidRPr="008C1A85">
        <w:rPr>
          <w:rFonts w:ascii="Times New Roman" w:hAnsi="Times New Roman" w:cs="Times New Roman"/>
          <w:b/>
          <w:sz w:val="24"/>
          <w:szCs w:val="24"/>
        </w:rPr>
        <w:t>TAX FILE MEMORANDUM</w:t>
      </w:r>
    </w:p>
    <w:p w:rsidR="00125CC6" w:rsidRPr="008C1A85" w:rsidRDefault="00125CC6" w:rsidP="00125CC6">
      <w:pPr>
        <w:rPr>
          <w:rFonts w:ascii="Times New Roman" w:hAnsi="Times New Roman" w:cs="Times New Roman"/>
          <w:sz w:val="24"/>
          <w:szCs w:val="24"/>
        </w:rPr>
      </w:pPr>
      <w:r w:rsidRPr="00172585">
        <w:rPr>
          <w:rFonts w:ascii="Times New Roman" w:hAnsi="Times New Roman" w:cs="Times New Roman"/>
          <w:b/>
          <w:sz w:val="24"/>
          <w:szCs w:val="24"/>
        </w:rPr>
        <w:t>DATE:</w:t>
      </w:r>
      <w:r w:rsidRPr="008C1A85">
        <w:rPr>
          <w:rFonts w:ascii="Times New Roman" w:hAnsi="Times New Roman" w:cs="Times New Roman"/>
          <w:sz w:val="24"/>
          <w:szCs w:val="24"/>
        </w:rPr>
        <w:t xml:space="preserve"> November 6, 2021</w:t>
      </w:r>
    </w:p>
    <w:p w:rsidR="00125CC6" w:rsidRPr="008C1A85" w:rsidRDefault="00125CC6" w:rsidP="00125CC6">
      <w:pPr>
        <w:rPr>
          <w:rFonts w:ascii="Times New Roman" w:hAnsi="Times New Roman" w:cs="Times New Roman"/>
          <w:sz w:val="24"/>
          <w:szCs w:val="24"/>
        </w:rPr>
      </w:pPr>
      <w:r w:rsidRPr="00172585">
        <w:rPr>
          <w:rFonts w:ascii="Times New Roman" w:hAnsi="Times New Roman" w:cs="Times New Roman"/>
          <w:b/>
          <w:sz w:val="24"/>
          <w:szCs w:val="24"/>
        </w:rPr>
        <w:t>FROM:</w:t>
      </w:r>
      <w:r w:rsidRPr="008C1A85">
        <w:rPr>
          <w:rFonts w:ascii="Times New Roman" w:hAnsi="Times New Roman" w:cs="Times New Roman"/>
          <w:sz w:val="24"/>
          <w:szCs w:val="24"/>
        </w:rPr>
        <w:t xml:space="preserve"> xxxxx</w:t>
      </w:r>
    </w:p>
    <w:p w:rsidR="00125CC6" w:rsidRPr="008C1A85" w:rsidRDefault="00125CC6" w:rsidP="00125CC6">
      <w:pPr>
        <w:rPr>
          <w:rFonts w:ascii="Times New Roman" w:hAnsi="Times New Roman" w:cs="Times New Roman"/>
          <w:sz w:val="24"/>
          <w:szCs w:val="24"/>
        </w:rPr>
      </w:pPr>
      <w:r w:rsidRPr="008C1A85">
        <w:rPr>
          <w:rFonts w:ascii="Times New Roman" w:hAnsi="Times New Roman" w:cs="Times New Roman"/>
          <w:b/>
          <w:sz w:val="24"/>
          <w:szCs w:val="24"/>
        </w:rPr>
        <w:t>Subject:</w:t>
      </w:r>
      <w:r w:rsidRPr="008C1A85">
        <w:rPr>
          <w:rFonts w:ascii="Times New Roman" w:hAnsi="Times New Roman" w:cs="Times New Roman"/>
          <w:sz w:val="24"/>
          <w:szCs w:val="24"/>
        </w:rPr>
        <w:t xml:space="preserve"> IRS Audit of Kane Corporation’s </w:t>
      </w:r>
    </w:p>
    <w:p w:rsidR="00B04457" w:rsidRDefault="00125CC6" w:rsidP="002F054F">
      <w:pPr>
        <w:spacing w:before="120" w:after="120" w:line="480" w:lineRule="auto"/>
        <w:ind w:firstLine="720"/>
        <w:rPr>
          <w:rFonts w:ascii="Times New Roman" w:hAnsi="Times New Roman" w:cs="Times New Roman"/>
          <w:sz w:val="24"/>
          <w:szCs w:val="24"/>
        </w:rPr>
      </w:pPr>
      <w:r w:rsidRPr="008C1A85">
        <w:rPr>
          <w:rFonts w:ascii="Times New Roman" w:hAnsi="Times New Roman" w:cs="Times New Roman"/>
          <w:sz w:val="24"/>
          <w:szCs w:val="24"/>
        </w:rPr>
        <w:t>Today, I talked to Shelly regarding proper tax treatment of Kane Corporation’s transfer of its entire inventory (basis of 1.2 mil</w:t>
      </w:r>
      <w:bookmarkStart w:id="0" w:name="_GoBack"/>
      <w:bookmarkEnd w:id="0"/>
      <w:r w:rsidRPr="008C1A85">
        <w:rPr>
          <w:rFonts w:ascii="Times New Roman" w:hAnsi="Times New Roman" w:cs="Times New Roman"/>
          <w:sz w:val="24"/>
          <w:szCs w:val="24"/>
        </w:rPr>
        <w:t xml:space="preserve">lion) in a transaction described as a “sale” by both the parties. The sale price for the inventory was 2 million, which was based on fair market value and which Shelly was to pay at a future date. Unfortunately, the debt was not evidenced with a promissory note and until today Shelly has not made any payment. </w:t>
      </w:r>
    </w:p>
    <w:p w:rsidR="00125CC6" w:rsidRPr="008C1A85" w:rsidRDefault="00125CC6" w:rsidP="002F054F">
      <w:pPr>
        <w:spacing w:before="120" w:after="120" w:line="480" w:lineRule="auto"/>
        <w:ind w:firstLine="720"/>
        <w:rPr>
          <w:rFonts w:ascii="Times New Roman" w:hAnsi="Times New Roman" w:cs="Times New Roman"/>
          <w:sz w:val="24"/>
          <w:szCs w:val="24"/>
        </w:rPr>
      </w:pPr>
      <w:r w:rsidRPr="008C1A85">
        <w:rPr>
          <w:rFonts w:ascii="Times New Roman" w:hAnsi="Times New Roman" w:cs="Times New Roman"/>
          <w:sz w:val="24"/>
          <w:szCs w:val="24"/>
        </w:rPr>
        <w:t xml:space="preserve">The other fact is that: </w:t>
      </w:r>
    </w:p>
    <w:p w:rsidR="00125CC6" w:rsidRPr="008C1A85" w:rsidRDefault="00125CC6" w:rsidP="002F054F">
      <w:pPr>
        <w:spacing w:before="120" w:after="120" w:line="480" w:lineRule="auto"/>
        <w:ind w:firstLine="720"/>
        <w:rPr>
          <w:rFonts w:ascii="Times New Roman" w:hAnsi="Times New Roman" w:cs="Times New Roman"/>
          <w:sz w:val="24"/>
          <w:szCs w:val="24"/>
        </w:rPr>
      </w:pPr>
      <w:r w:rsidRPr="008C1A85">
        <w:rPr>
          <w:rFonts w:ascii="Times New Roman" w:hAnsi="Times New Roman" w:cs="Times New Roman"/>
          <w:sz w:val="24"/>
          <w:szCs w:val="24"/>
        </w:rPr>
        <w:t xml:space="preserve">After the inventory transfer, Kane ceased to operate and, therefore, did not liquidate as required by state law. Upon an audit of Kane’s tax return, IRS discovered that the inventory transfer constituted a liquidation of the corporation that resulted to $800,000 [$2 million (fair market value) - $1.2 million (inventory basis)]. Since Kane is devoid of assets, the IRS had no option than to assess the tax against Shelly, based on transferee liability. IRS also asserts that Shelly has a tax deficiency based on the gain she recognized on the purported liquidation. </w:t>
      </w:r>
    </w:p>
    <w:p w:rsidR="00125CC6" w:rsidRPr="008C1A85" w:rsidRDefault="00125CC6" w:rsidP="002F054F">
      <w:pPr>
        <w:ind w:firstLine="720"/>
        <w:rPr>
          <w:rFonts w:ascii="Times New Roman" w:hAnsi="Times New Roman" w:cs="Times New Roman"/>
          <w:b/>
          <w:sz w:val="24"/>
          <w:szCs w:val="24"/>
        </w:rPr>
      </w:pPr>
      <w:r w:rsidRPr="008C1A85">
        <w:rPr>
          <w:rFonts w:ascii="Times New Roman" w:hAnsi="Times New Roman" w:cs="Times New Roman"/>
          <w:b/>
          <w:sz w:val="24"/>
          <w:szCs w:val="24"/>
        </w:rPr>
        <w:t>Research Conclusion</w:t>
      </w:r>
    </w:p>
    <w:p w:rsidR="00125CC6" w:rsidRPr="008C1A85" w:rsidRDefault="00125CC6" w:rsidP="002F054F">
      <w:pPr>
        <w:spacing w:before="120" w:after="120" w:line="480" w:lineRule="auto"/>
        <w:ind w:firstLine="720"/>
        <w:rPr>
          <w:rFonts w:ascii="Times New Roman" w:hAnsi="Times New Roman" w:cs="Times New Roman"/>
          <w:sz w:val="24"/>
          <w:szCs w:val="24"/>
        </w:rPr>
      </w:pPr>
      <w:r w:rsidRPr="008C1A85">
        <w:rPr>
          <w:rFonts w:ascii="Times New Roman" w:hAnsi="Times New Roman" w:cs="Times New Roman"/>
          <w:sz w:val="24"/>
          <w:szCs w:val="24"/>
        </w:rPr>
        <w:t xml:space="preserve">The best approach to help Shelly and determines whether or not IRS was correct in its determination, is first off to determine whether the inventory transfer really constituted a complete liquidation of Kane Corporation as required by Section §346 (complete liquidation) of the tax law. Kane did not have a formal plan stating its plan to liquidate including distributing the properties. I.R.C. §346(a) requires that a distribution be treated as incomplete liquidation of a corporation if it did not have an intent to liquidate or even does not explain how the distribution </w:t>
      </w:r>
      <w:r w:rsidRPr="008C1A85">
        <w:rPr>
          <w:rFonts w:ascii="Times New Roman" w:hAnsi="Times New Roman" w:cs="Times New Roman"/>
          <w:sz w:val="24"/>
          <w:szCs w:val="24"/>
        </w:rPr>
        <w:lastRenderedPageBreak/>
        <w:t xml:space="preserve">would play out, its effect on corporate or shareholders and determine tax consequences. Even though the corporation did not have a formal plan, agreeing to transfer the inventories is evident enough it had an intent to liquidate and, therefore, the transaction qualifies as a complete liquidation. Alternatively, if Shelly can prove that the corporation is still under the process of liquidation, then the transaction can be characterized or treated as a non-liquidating distribution and, thus, potentially a dividend under section §301. </w:t>
      </w:r>
    </w:p>
    <w:p w:rsidR="00125CC6" w:rsidRPr="008C1A85" w:rsidRDefault="00125CC6" w:rsidP="00125CC6">
      <w:pPr>
        <w:pStyle w:val="ListParagraph"/>
        <w:numPr>
          <w:ilvl w:val="0"/>
          <w:numId w:val="1"/>
        </w:numPr>
        <w:rPr>
          <w:rFonts w:ascii="Times New Roman" w:hAnsi="Times New Roman" w:cs="Times New Roman"/>
          <w:b/>
          <w:sz w:val="24"/>
          <w:szCs w:val="24"/>
        </w:rPr>
      </w:pPr>
      <w:r w:rsidRPr="008C1A85">
        <w:rPr>
          <w:rFonts w:ascii="Times New Roman" w:hAnsi="Times New Roman" w:cs="Times New Roman"/>
          <w:b/>
          <w:sz w:val="24"/>
          <w:szCs w:val="24"/>
        </w:rPr>
        <w:t>Consequences to Shelly</w:t>
      </w:r>
    </w:p>
    <w:p w:rsidR="00125CC6" w:rsidRPr="008C1A85" w:rsidRDefault="00125CC6" w:rsidP="002F054F">
      <w:pPr>
        <w:spacing w:before="120" w:after="120" w:line="480" w:lineRule="auto"/>
        <w:ind w:firstLine="720"/>
        <w:rPr>
          <w:rFonts w:ascii="Times New Roman" w:hAnsi="Times New Roman" w:cs="Times New Roman"/>
          <w:sz w:val="24"/>
          <w:szCs w:val="24"/>
        </w:rPr>
      </w:pPr>
      <w:r w:rsidRPr="008C1A85">
        <w:rPr>
          <w:rFonts w:ascii="Times New Roman" w:hAnsi="Times New Roman" w:cs="Times New Roman"/>
          <w:sz w:val="24"/>
          <w:szCs w:val="24"/>
        </w:rPr>
        <w:t>IRS is correct by asserting that the inventory transfer constituted a complete liquidation. Thus, under I.R.C §1001(a), the corporation would have realized $800,000 [$2 million (fair market value)] gain on the distributed inventory. Treating the transfer on the basis of transferee liability, Shelly is tax liable because she assumed the liability the moment the inventories were transferred to her. She would have a recognized gain of 1.6 million [$2 million (inventory value- $400,000 (stock basis)], reduced by the corporation’s tax liability on liquidation.</w:t>
      </w:r>
    </w:p>
    <w:p w:rsidR="00125CC6" w:rsidRPr="008C1A85" w:rsidRDefault="00125CC6" w:rsidP="00125CC6">
      <w:pPr>
        <w:pStyle w:val="ListParagraph"/>
        <w:numPr>
          <w:ilvl w:val="0"/>
          <w:numId w:val="1"/>
        </w:numPr>
        <w:rPr>
          <w:rFonts w:ascii="Times New Roman" w:hAnsi="Times New Roman" w:cs="Times New Roman"/>
          <w:b/>
          <w:sz w:val="24"/>
          <w:szCs w:val="24"/>
        </w:rPr>
      </w:pPr>
      <w:r w:rsidRPr="008C1A85">
        <w:rPr>
          <w:rFonts w:ascii="Times New Roman" w:hAnsi="Times New Roman" w:cs="Times New Roman"/>
          <w:b/>
          <w:sz w:val="24"/>
          <w:szCs w:val="24"/>
        </w:rPr>
        <w:t>Consequences to the Corporation</w:t>
      </w:r>
    </w:p>
    <w:p w:rsidR="00125CC6" w:rsidRPr="008C1A85" w:rsidRDefault="00125CC6" w:rsidP="002F054F">
      <w:pPr>
        <w:spacing w:before="120" w:after="120" w:line="480" w:lineRule="auto"/>
        <w:ind w:firstLine="720"/>
        <w:rPr>
          <w:rFonts w:ascii="Times New Roman" w:hAnsi="Times New Roman" w:cs="Times New Roman"/>
          <w:sz w:val="24"/>
          <w:szCs w:val="24"/>
        </w:rPr>
      </w:pPr>
      <w:r w:rsidRPr="008C1A85">
        <w:rPr>
          <w:rFonts w:ascii="Times New Roman" w:hAnsi="Times New Roman" w:cs="Times New Roman"/>
          <w:sz w:val="24"/>
          <w:szCs w:val="24"/>
        </w:rPr>
        <w:t xml:space="preserve">The question to answer here is “how much gain or loss did the corporation realized and recognized?” Section I.R.C §336(a) states that gain or loss should be recognized as if such property were sold to the distributee at its fair market value”, unless the property distributed to the shareholder is subject to a liability. Based on this general rule, the corporation does not have any tax consequence because its liability was transferred to Shelly. </w:t>
      </w:r>
    </w:p>
    <w:p w:rsidR="008F5659" w:rsidRDefault="0012342A"/>
    <w:sectPr w:rsidR="008F565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42A" w:rsidRDefault="0012342A" w:rsidP="00284B0A">
      <w:pPr>
        <w:spacing w:after="0" w:line="240" w:lineRule="auto"/>
      </w:pPr>
      <w:r>
        <w:separator/>
      </w:r>
    </w:p>
  </w:endnote>
  <w:endnote w:type="continuationSeparator" w:id="0">
    <w:p w:rsidR="0012342A" w:rsidRDefault="0012342A" w:rsidP="00284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42A" w:rsidRDefault="0012342A" w:rsidP="00284B0A">
      <w:pPr>
        <w:spacing w:after="0" w:line="240" w:lineRule="auto"/>
      </w:pPr>
      <w:r>
        <w:separator/>
      </w:r>
    </w:p>
  </w:footnote>
  <w:footnote w:type="continuationSeparator" w:id="0">
    <w:p w:rsidR="0012342A" w:rsidRDefault="0012342A" w:rsidP="00284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B0A" w:rsidRDefault="00284B0A" w:rsidP="00284B0A">
    <w:pPr>
      <w:pStyle w:val="Header"/>
      <w:jc w:val="right"/>
    </w:pPr>
    <w:r>
      <w:fldChar w:fldCharType="begin"/>
    </w:r>
    <w:r>
      <w:instrText xml:space="preserve"> PAGE   \* MERGEFORMAT </w:instrText>
    </w:r>
    <w:r>
      <w:fldChar w:fldCharType="separate"/>
    </w:r>
    <w:r w:rsidR="0035684D">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F83518"/>
    <w:multiLevelType w:val="hybridMultilevel"/>
    <w:tmpl w:val="6876FA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CC6"/>
    <w:rsid w:val="0012342A"/>
    <w:rsid w:val="00125CC6"/>
    <w:rsid w:val="00284B0A"/>
    <w:rsid w:val="002F054F"/>
    <w:rsid w:val="0035684D"/>
    <w:rsid w:val="0043725B"/>
    <w:rsid w:val="004D6473"/>
    <w:rsid w:val="00B04457"/>
    <w:rsid w:val="00DC2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8B81C"/>
  <w15:chartTrackingRefBased/>
  <w15:docId w15:val="{95A7E0B5-A7CB-4C7B-A482-5DFA11EC0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5C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5CC6"/>
    <w:pPr>
      <w:ind w:left="720"/>
      <w:contextualSpacing/>
    </w:pPr>
  </w:style>
  <w:style w:type="paragraph" w:styleId="Header">
    <w:name w:val="header"/>
    <w:basedOn w:val="Normal"/>
    <w:link w:val="HeaderChar"/>
    <w:uiPriority w:val="99"/>
    <w:unhideWhenUsed/>
    <w:rsid w:val="00284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B0A"/>
  </w:style>
  <w:style w:type="paragraph" w:styleId="Footer">
    <w:name w:val="footer"/>
    <w:basedOn w:val="Normal"/>
    <w:link w:val="FooterChar"/>
    <w:uiPriority w:val="99"/>
    <w:unhideWhenUsed/>
    <w:rsid w:val="00284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2</cp:revision>
  <dcterms:created xsi:type="dcterms:W3CDTF">2021-11-07T22:12:00Z</dcterms:created>
  <dcterms:modified xsi:type="dcterms:W3CDTF">2021-11-07T22:12:00Z</dcterms:modified>
</cp:coreProperties>
</file>